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MASLD (odds ratio 0.94 (95% CI 0.87 to 1.03), false discovery rate q 0.230) among 34840 adults aged 20 years or older (a weighted MASLD prevalence of 21.6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0.87 to 1.03)</w:t>
            </w:r>
          </w:p>
        </w:tc>
        <w:tc>
          <w:tcPr>
            <w:tcW w:type="dxa" w:w="1234"/>
          </w:tcPr>
          <w:p>
            <w:r>
              <w:t>0.191</w:t>
            </w:r>
          </w:p>
        </w:tc>
        <w:tc>
          <w:tcPr>
            <w:tcW w:type="dxa" w:w="1234"/>
          </w:tcPr>
          <w:p>
            <w:r>
              <w:t>0.230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22.4%</w:t>
            </w:r>
          </w:p>
        </w:tc>
        <w:tc>
          <w:tcPr>
            <w:tcW w:type="dxa" w:w="2160"/>
          </w:tcPr>
          <w:p>
            <w:r>
              <w:t>22.2%</w:t>
            </w:r>
          </w:p>
        </w:tc>
        <w:tc>
          <w:tcPr>
            <w:tcW w:type="dxa" w:w="2160"/>
          </w:tcPr>
          <w:p>
            <w:r>
              <w:t>23.1%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