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eGFR (CKD-EPI 2021), mL/min/1.73m2 and MASLD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eGFR (CKD-EPI 2021), mL/min/1.73m2 was inversely associated with MASLD (odds ratio per 1-SD 0.90 (95% CI 0.86 to 0.94), false discovery rate q &lt;0.001) among 34840 adults aged 20 years or older (a weighted MASLD prevalence of 21.6 percent, survey-weighted). Confounders: Age, years, Male sex,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alcohol and smoking. Cardiometabolic components are part of the MASLD construct and are not used for adjustment. Adjustment for this exposure: Age, years, Male sex,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eGFR (CKD-EPI 2021), mL/min/1.73m2</w:t>
            </w:r>
          </w:p>
        </w:tc>
        <w:tc>
          <w:tcPr>
            <w:tcW w:type="dxa" w:w="1234"/>
          </w:tcPr>
          <w:p>
            <w:r>
              <w:t>MASLD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0.90 (95% CI 0.86 to 0.94)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34840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MASLD</w:t>
            </w:r>
          </w:p>
        </w:tc>
        <w:tc>
          <w:tcPr>
            <w:tcW w:type="dxa" w:w="2160"/>
          </w:tcPr>
          <w:p>
            <w:r>
              <w:t>MASLD</w:t>
            </w:r>
          </w:p>
        </w:tc>
      </w:tr>
      <w:tr>
        <w:tc>
          <w:tcPr>
            <w:tcW w:type="dxa" w:w="2160"/>
          </w:tcPr>
          <w:p>
            <w:r>
              <w:t>eGFR (CKD-EPI 2021), mL/min/1.73m2 (exposure)</w:t>
            </w:r>
          </w:p>
        </w:tc>
        <w:tc>
          <w:tcPr>
            <w:tcW w:type="dxa" w:w="2160"/>
          </w:tcPr>
          <w:p>
            <w:r>
              <w:t>101.1</w:t>
            </w:r>
          </w:p>
        </w:tc>
        <w:tc>
          <w:tcPr>
            <w:tcW w:type="dxa" w:w="2160"/>
          </w:tcPr>
          <w:p>
            <w:r>
              <w:t>101.3</w:t>
            </w:r>
          </w:p>
        </w:tc>
        <w:tc>
          <w:tcPr>
            <w:tcW w:type="dxa" w:w="2160"/>
          </w:tcPr>
          <w:p>
            <w:r>
              <w:t>100.0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47.0</w:t>
            </w:r>
          </w:p>
        </w:tc>
        <w:tc>
          <w:tcPr>
            <w:tcW w:type="dxa" w:w="2160"/>
          </w:tcPr>
          <w:p>
            <w:r>
              <w:t>47.0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48.9%</w:t>
            </w:r>
          </w:p>
        </w:tc>
        <w:tc>
          <w:tcPr>
            <w:tcW w:type="dxa" w:w="2160"/>
          </w:tcPr>
          <w:p>
            <w:r>
              <w:t>55.0%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90.7%</w:t>
            </w:r>
          </w:p>
        </w:tc>
        <w:tc>
          <w:tcPr>
            <w:tcW w:type="dxa" w:w="2160"/>
          </w:tcPr>
          <w:p>
            <w:r>
              <w:t>91.2%</w:t>
            </w:r>
          </w:p>
        </w:tc>
        <w:tc>
          <w:tcPr>
            <w:tcW w:type="dxa" w:w="2160"/>
          </w:tcPr>
          <w:p>
            <w:r>
              <w:t>88.8%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45.0%</w:t>
            </w:r>
          </w:p>
        </w:tc>
        <w:tc>
          <w:tcPr>
            <w:tcW w:type="dxa" w:w="2160"/>
          </w:tcPr>
          <w:p>
            <w:r>
              <w:t>44.5%</w:t>
            </w:r>
          </w:p>
        </w:tc>
        <w:tc>
          <w:tcPr>
            <w:tcW w:type="dxa" w:w="2160"/>
          </w:tcPr>
          <w:p>
            <w:r>
              <w:t>46.7%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