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MASLD (odds ratio 0.70 (95% CI 0.64 to 0.77), false discovery rate q &lt;0.001) among 34840 adults aged 20 years or older (a weighted MASLD prevalence of 21.6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0.64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