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MASLD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MASLD (odds ratio 5.32 (95% CI 4.47 to 6.33), false discovery rate q &lt;0.001) among 34840 adults aged 20 years or older (a weighted MASLD prevalence of 21.6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Cardiometabolic components are part of the MASLD construct and are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MASLD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5.32 (95% CI 4.47 to 6.33)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MASLD</w:t>
            </w:r>
          </w:p>
        </w:tc>
        <w:tc>
          <w:tcPr>
            <w:tcW w:type="dxa" w:w="2160"/>
          </w:tcPr>
          <w:p>
            <w:r>
              <w:t>MASLD</w:t>
            </w:r>
          </w:p>
        </w:tc>
      </w:tr>
      <w:tr>
        <w:tc>
          <w:tcPr>
            <w:tcW w:type="dxa" w:w="2160"/>
          </w:tcPr>
          <w:p>
            <w:r>
              <w:t>High body fat (M&gt;=25/F&gt;=35%) (exposure)</w:t>
            </w:r>
          </w:p>
        </w:tc>
        <w:tc>
          <w:tcPr>
            <w:tcW w:type="dxa" w:w="2160"/>
          </w:tcPr>
          <w:p>
            <w:r>
              <w:t>33.6%</w:t>
            </w:r>
          </w:p>
        </w:tc>
        <w:tc>
          <w:tcPr>
            <w:tcW w:type="dxa" w:w="2160"/>
          </w:tcPr>
          <w:p>
            <w:r>
              <w:t>25.7%</w:t>
            </w:r>
          </w:p>
        </w:tc>
        <w:tc>
          <w:tcPr>
            <w:tcW w:type="dxa" w:w="2160"/>
          </w:tcPr>
          <w:p>
            <w:r>
              <w:t>63.7%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  <w:tc>
          <w:tcPr>
            <w:tcW w:type="dxa" w:w="2160"/>
          </w:tcPr>
          <w:p>
            <w:r>
              <w:t>55.0%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91.2%</w:t>
            </w:r>
          </w:p>
        </w:tc>
        <w:tc>
          <w:tcPr>
            <w:tcW w:type="dxa" w:w="2160"/>
          </w:tcPr>
          <w:p>
            <w:r>
              <w:t>88.8%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