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MASLD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High LDL cholesterol (&gt;=160) was positively associated with MASLD (odds ratio 1.55 (95% CI 1.34 to 1.79), false discovery rate q &lt;0.001) among 34840 adults aged 20 years or older (a weighted MASLD prevalence of 21.6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Cardiometabolic components are part of the MASLD construct and are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1.55 (95% CI 1.34 to 1.79)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MASLD</w:t>
            </w:r>
          </w:p>
        </w:tc>
        <w:tc>
          <w:tcPr>
            <w:tcW w:type="dxa" w:w="2160"/>
          </w:tcPr>
          <w:p>
            <w:r>
              <w:t>MASLD</w:t>
            </w:r>
          </w:p>
        </w:tc>
      </w:tr>
      <w:tr>
        <w:tc>
          <w:tcPr>
            <w:tcW w:type="dxa" w:w="2160"/>
          </w:tcPr>
          <w:p>
            <w:r>
              <w:t>High LDL cholesterol (&gt;=160) (exposure)</w:t>
            </w:r>
          </w:p>
        </w:tc>
        <w:tc>
          <w:tcPr>
            <w:tcW w:type="dxa" w:w="2160"/>
          </w:tcPr>
          <w:p>
            <w:r>
              <w:t>10.6%</w:t>
            </w:r>
          </w:p>
        </w:tc>
        <w:tc>
          <w:tcPr>
            <w:tcW w:type="dxa" w:w="2160"/>
          </w:tcPr>
          <w:p>
            <w:r>
              <w:t>9.4%</w:t>
            </w:r>
          </w:p>
        </w:tc>
        <w:tc>
          <w:tcPr>
            <w:tcW w:type="dxa" w:w="2160"/>
          </w:tcPr>
          <w:p>
            <w:r>
              <w:t>13.9%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55.0%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91.2%</w:t>
            </w:r>
          </w:p>
        </w:tc>
        <w:tc>
          <w:tcPr>
            <w:tcW w:type="dxa" w:w="2160"/>
          </w:tcPr>
          <w:p>
            <w:r>
              <w:t>88.8%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