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LDL cholesterol, mg/dL and MASLD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LDL cholesterol, mg/dL was positively associated with MASLD (odds ratio per 1-SD 1.22 (95% CI 1.16 to 1.28), false discovery rate q &lt;0.001) among 34840 adults aged 20 years or older (a weighted MASLD prevalence of 21.6 percent, survey-weighted). Confounders: Age, years, Male sex,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alcohol and smoking. Cardiometabolic components are part of the MASLD construct and are not used for adjustment. Adjustment for this exposure: Age, years, Male sex,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MASLD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1.22 (95% CI 1.16 to 1.28)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34840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MASLD</w:t>
            </w:r>
          </w:p>
        </w:tc>
        <w:tc>
          <w:tcPr>
            <w:tcW w:type="dxa" w:w="2160"/>
          </w:tcPr>
          <w:p>
            <w:r>
              <w:t>MASLD</w:t>
            </w:r>
          </w:p>
        </w:tc>
      </w:tr>
      <w:tr>
        <w:tc>
          <w:tcPr>
            <w:tcW w:type="dxa" w:w="2160"/>
          </w:tcPr>
          <w:p>
            <w:r>
              <w:t>LDL cholesterol, mg/dL (exposure)</w:t>
            </w:r>
          </w:p>
        </w:tc>
        <w:tc>
          <w:tcPr>
            <w:tcW w:type="dxa" w:w="2160"/>
          </w:tcPr>
          <w:p>
            <w:r>
              <w:t>115.4</w:t>
            </w:r>
          </w:p>
        </w:tc>
        <w:tc>
          <w:tcPr>
            <w:tcW w:type="dxa" w:w="2160"/>
          </w:tcPr>
          <w:p>
            <w:r>
              <w:t>113.5</w:t>
            </w:r>
          </w:p>
        </w:tc>
        <w:tc>
          <w:tcPr>
            <w:tcW w:type="dxa" w:w="2160"/>
          </w:tcPr>
          <w:p>
            <w:r>
              <w:t>120.5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47.0</w:t>
            </w:r>
          </w:p>
        </w:tc>
        <w:tc>
          <w:tcPr>
            <w:tcW w:type="dxa" w:w="2160"/>
          </w:tcPr>
          <w:p>
            <w:r>
              <w:t>47.0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  <w:tc>
          <w:tcPr>
            <w:tcW w:type="dxa" w:w="2160"/>
          </w:tcPr>
          <w:p>
            <w:r>
              <w:t>55.0%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90.7%</w:t>
            </w:r>
          </w:p>
        </w:tc>
        <w:tc>
          <w:tcPr>
            <w:tcW w:type="dxa" w:w="2160"/>
          </w:tcPr>
          <w:p>
            <w:r>
              <w:t>91.2%</w:t>
            </w:r>
          </w:p>
        </w:tc>
        <w:tc>
          <w:tcPr>
            <w:tcW w:type="dxa" w:w="2160"/>
          </w:tcPr>
          <w:p>
            <w:r>
              <w:t>88.8%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45.0%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  <w:tc>
          <w:tcPr>
            <w:tcW w:type="dxa" w:w="2160"/>
          </w:tcPr>
          <w:p>
            <w:r>
              <w:t>46.7%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