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MASLD (odds ratio 0.53 (95% CI 0.40 to 0.71), false discovery rate q &lt;0.001) among 34840 adults aged 20 years or older (a weighted MASLD prevalence of 21.6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0.53 (95% CI 0.40 to 0.71)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30.1%</w:t>
            </w:r>
          </w:p>
        </w:tc>
        <w:tc>
          <w:tcPr>
            <w:tcW w:type="dxa" w:w="2160"/>
          </w:tcPr>
          <w:p>
            <w:r>
              <w:t>31.6%</w:t>
            </w:r>
          </w:p>
        </w:tc>
        <w:tc>
          <w:tcPr>
            <w:tcW w:type="dxa" w:w="2160"/>
          </w:tcPr>
          <w:p>
            <w:r>
              <w:t>24.7%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