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MASLD (odds ratio per 1-SD 1.28 (95% CI 1.25 to 1.32),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1.25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258.2</w:t>
            </w:r>
          </w:p>
        </w:tc>
        <w:tc>
          <w:tcPr>
            <w:tcW w:type="dxa" w:w="2160"/>
          </w:tcPr>
          <w:p>
            <w:r>
              <w:t>255.3</w:t>
            </w:r>
          </w:p>
        </w:tc>
        <w:tc>
          <w:tcPr>
            <w:tcW w:type="dxa" w:w="2160"/>
          </w:tcPr>
          <w:p>
            <w:r>
              <w:t>268.5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