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MASLD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cholesterol, mg/dL was positively associated with MASLD (odds ratio per 1-SD 1.22 (95% CI 1.18 to 1.26), false discovery rate q &lt;0.001) among 34840 adults aged 20 years or older (a weighted MASLD prevalence of 21.6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Cardiometabolic components are part of the MASLD construct and are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1.22 (95% CI 1.18 to 1.26)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MASLD</w:t>
            </w:r>
          </w:p>
        </w:tc>
        <w:tc>
          <w:tcPr>
            <w:tcW w:type="dxa" w:w="2160"/>
          </w:tcPr>
          <w:p>
            <w:r>
              <w:t>MASLD</w:t>
            </w:r>
          </w:p>
        </w:tc>
      </w:tr>
      <w:tr>
        <w:tc>
          <w:tcPr>
            <w:tcW w:type="dxa" w:w="2160"/>
          </w:tcPr>
          <w:p>
            <w:r>
              <w:t>Total cholesterol, mg/dL (exposure)</w:t>
            </w:r>
          </w:p>
        </w:tc>
        <w:tc>
          <w:tcPr>
            <w:tcW w:type="dxa" w:w="2160"/>
          </w:tcPr>
          <w:p>
            <w:r>
              <w:t>189.7</w:t>
            </w:r>
          </w:p>
        </w:tc>
        <w:tc>
          <w:tcPr>
            <w:tcW w:type="dxa" w:w="2160"/>
          </w:tcPr>
          <w:p>
            <w:r>
              <w:t>188.2</w:t>
            </w:r>
          </w:p>
        </w:tc>
        <w:tc>
          <w:tcPr>
            <w:tcW w:type="dxa" w:w="2160"/>
          </w:tcPr>
          <w:p>
            <w:r>
              <w:t>195.4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55.0%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91.2%</w:t>
            </w:r>
          </w:p>
        </w:tc>
        <w:tc>
          <w:tcPr>
            <w:tcW w:type="dxa" w:w="2160"/>
          </w:tcPr>
          <w:p>
            <w:r>
              <w:t>88.8%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