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MASLD (odds ratio per 1-SD 5.17 (95% CI 4.27 to 6.26),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5.17 (95% CI 4.27 to 6.26)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44.5</w:t>
            </w:r>
          </w:p>
        </w:tc>
        <w:tc>
          <w:tcPr>
            <w:tcW w:type="dxa" w:w="2160"/>
          </w:tcPr>
          <w:p>
            <w:r>
              <w:t>50.7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