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MASLD (odds ratio 1.19 (95% CI 1.05 to 1.35), false discovery rate q 0.010)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1.05 to 1.35)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69.7%</w:t>
            </w:r>
          </w:p>
        </w:tc>
        <w:tc>
          <w:tcPr>
            <w:tcW w:type="dxa" w:w="2160"/>
          </w:tcPr>
          <w:p>
            <w:r>
              <w:t>72.1%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