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Metabolic syndrome (odds ratio per 1-SD 2.01 (95% CI 1.95 to 2.07), false discovery rate q &lt;0.001) among 34356 adults aged 20 years or older (a weighted Metabolic syndrome prevalence of 27.0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1.95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