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Metabolic syndrome (odds ratio 0.66 (95% CI 0.59 to 0.75),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0.66 (95% CI 0.59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