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Metabolic syndrome (odds ratio per 1-SD 3.25 (95% CI 2.82 to 3.74),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3.25 (95% CI 2.82 to 3.74)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19.2</w:t>
            </w:r>
          </w:p>
        </w:tc>
        <w:tc>
          <w:tcPr>
            <w:tcW w:type="dxa" w:w="2160"/>
          </w:tcPr>
          <w:p>
            <w:r>
              <w:t>20.7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