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Metabolic syndrome (odds ratio per 1-SD 1.41 (95% CI 1.32 to 1.50),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1.32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21.7</w:t>
            </w:r>
          </w:p>
        </w:tc>
        <w:tc>
          <w:tcPr>
            <w:tcW w:type="dxa" w:w="2160"/>
          </w:tcPr>
          <w:p>
            <w:r>
              <w:t>26.8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