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Metabolic syndrome (odds ratio 2.48 (95% CI 2.18 to 2.82),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2.48 (95% CI 2.18 to 2.82)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  <w:tc>
          <w:tcPr>
            <w:tcW w:type="dxa" w:w="2160"/>
          </w:tcPr>
          <w:p>
            <w:r>
              <w:t>15.2%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