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Metabolic syndrome (odds ratio per 1-SD 0.86 (95% CI 0.82 to 0.90),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0.82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103.4</w:t>
            </w:r>
          </w:p>
        </w:tc>
        <w:tc>
          <w:tcPr>
            <w:tcW w:type="dxa" w:w="2160"/>
          </w:tcPr>
          <w:p>
            <w:r>
              <w:t>94.5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