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Metabolic syndrome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Metabolic syndrome (odds ratio 4.75 (95% CI 4.28 to 5.27), false discovery rate q &lt;0.001) among 34356 adults aged 20 years or older (a weighted Metabolic syndrome prevalence of 27.0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4.75 (95% CI 4.28 to 5.27)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34356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9.5%</w:t>
            </w:r>
          </w:p>
        </w:tc>
        <w:tc>
          <w:tcPr>
            <w:tcW w:type="dxa" w:w="2160"/>
          </w:tcPr>
          <w:p>
            <w:r>
              <w:t>6.0%</w:t>
            </w:r>
          </w:p>
        </w:tc>
        <w:tc>
          <w:tcPr>
            <w:tcW w:type="dxa" w:w="2160"/>
          </w:tcPr>
          <w:p>
            <w:r>
              <w:t>19.3%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44.3</w:t>
            </w:r>
          </w:p>
        </w:tc>
        <w:tc>
          <w:tcPr>
            <w:tcW w:type="dxa" w:w="2160"/>
          </w:tcPr>
          <w:p>
            <w:r>
              <w:t>54.8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  <w:tc>
          <w:tcPr>
            <w:tcW w:type="dxa" w:w="2160"/>
          </w:tcPr>
          <w:p>
            <w:r>
              <w:t>58.0%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41.4%</w:t>
            </w:r>
          </w:p>
        </w:tc>
        <w:tc>
          <w:tcPr>
            <w:tcW w:type="dxa" w:w="2160"/>
          </w:tcPr>
          <w:p>
            <w:r>
              <w:t>53.1%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87.0%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