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Metabolic syndrome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Elevated AST (&gt;40 IU/L) was positively associated with Metabolic syndrome (odds ratio 3.10 (95% CI 2.71 to 3.55), false discovery rate q &lt;0.001) among 34356 adults aged 20 years or older (a weighted Metabolic syndrome prevalence of 27.0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3.10 (95% CI 2.71 to 3.55)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34356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Elevated AST (&gt;40 IU/L) (exposure)</w:t>
            </w:r>
          </w:p>
        </w:tc>
        <w:tc>
          <w:tcPr>
            <w:tcW w:type="dxa" w:w="2160"/>
          </w:tcPr>
          <w:p>
            <w:r>
              <w:t>4.7%</w:t>
            </w:r>
          </w:p>
        </w:tc>
        <w:tc>
          <w:tcPr>
            <w:tcW w:type="dxa" w:w="2160"/>
          </w:tcPr>
          <w:p>
            <w:r>
              <w:t>3.0%</w:t>
            </w:r>
          </w:p>
        </w:tc>
        <w:tc>
          <w:tcPr>
            <w:tcW w:type="dxa" w:w="2160"/>
          </w:tcPr>
          <w:p>
            <w:r>
              <w:t>9.2%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44.3</w:t>
            </w:r>
          </w:p>
        </w:tc>
        <w:tc>
          <w:tcPr>
            <w:tcW w:type="dxa" w:w="2160"/>
          </w:tcPr>
          <w:p>
            <w:r>
              <w:t>54.8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  <w:tc>
          <w:tcPr>
            <w:tcW w:type="dxa" w:w="2160"/>
          </w:tcPr>
          <w:p>
            <w:r>
              <w:t>58.0%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87.0%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