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Metabolic syndrome (odds ratio 0.83 (95% CI 0.75 to 0.90), false discovery rate q &lt;0.001) among 34356 adults aged 20 years or older (a weighted Metabolic syndrome prevalence of 27.0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0.75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