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Metabolic syndrome (odds ratio 1.35 (95% CI 1.24 to 1.48), false discovery rate q &lt;0.001) among 34356 adults aged 20 years or older (a weighted Metabolic syndrome prevalence of 27.0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1.24 to 1.48)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