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Metabolic syndrome (odds ratio per 1-SD 0.78 (95% CI 0.70 to 0.87), false discovery rate q &lt;0.001) among 34356 adults aged 20 years or older (a weighted Metabolic syndrome prevalence of 27.0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0.78 (95% CI 0.70 to 0.87)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