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Metabolic syndrome (odds ratio per 1-SD 1.14 (95% CI 1.08 to 1.19),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1.08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164.7</w:t>
            </w:r>
          </w:p>
        </w:tc>
        <w:tc>
          <w:tcPr>
            <w:tcW w:type="dxa" w:w="2160"/>
          </w:tcPr>
          <w:p>
            <w:r>
              <w:t>164.4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