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Metabolic syndrome (odds ratio per 1-SD 3.95 (95% CI 3.77 to 4.14),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3.95 (95% CI 3.77 to 4.14)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  <w:tc>
          <w:tcPr>
            <w:tcW w:type="dxa" w:w="2160"/>
          </w:tcPr>
          <w:p>
            <w:r>
              <w:t>37.0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