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positively associated with Metabolic syndrome (odds ratio 3.50 (95% CI 2.99 to 4.09), false discovery rate q &lt;0.001) among 34356 adults aged 20 years or older (a weighted Metabolic syndrome prevalence of 27.0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3.50 (95% CI 2.99 to 4.09)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33.7%</w:t>
            </w:r>
          </w:p>
        </w:tc>
        <w:tc>
          <w:tcPr>
            <w:tcW w:type="dxa" w:w="2160"/>
          </w:tcPr>
          <w:p>
            <w:r>
              <w:t>26.6%</w:t>
            </w:r>
          </w:p>
        </w:tc>
        <w:tc>
          <w:tcPr>
            <w:tcW w:type="dxa" w:w="2160"/>
          </w:tcPr>
          <w:p>
            <w:r>
              <w:t>53.6%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