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Metabolic syndrome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LDL cholesterol (&gt;=160) was positively associated with Metabolic syndrome (odds ratio 1.19 (95% CI 1.02 to 1.39), false discovery rate q 0.043) among 34356 adults aged 20 years or older (a weighted Metabolic syndrome prevalence of 27.0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1.19 (95% CI 1.02 to 1.39)</w:t>
            </w:r>
          </w:p>
        </w:tc>
        <w:tc>
          <w:tcPr>
            <w:tcW w:type="dxa" w:w="1234"/>
          </w:tcPr>
          <w:p>
            <w:r>
              <w:t>0.032</w:t>
            </w:r>
          </w:p>
        </w:tc>
        <w:tc>
          <w:tcPr>
            <w:tcW w:type="dxa" w:w="1234"/>
          </w:tcPr>
          <w:p>
            <w:r>
              <w:t>0.043</w:t>
            </w:r>
          </w:p>
        </w:tc>
        <w:tc>
          <w:tcPr>
            <w:tcW w:type="dxa" w:w="1234"/>
          </w:tcPr>
          <w:p>
            <w:r>
              <w:t>34356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High LDL cholesterol (&gt;=160) (exposure)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10.0%</w:t>
            </w:r>
          </w:p>
        </w:tc>
        <w:tc>
          <w:tcPr>
            <w:tcW w:type="dxa" w:w="2160"/>
          </w:tcPr>
          <w:p>
            <w:r>
              <w:t>11.8%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44.3</w:t>
            </w:r>
          </w:p>
        </w:tc>
        <w:tc>
          <w:tcPr>
            <w:tcW w:type="dxa" w:w="2160"/>
          </w:tcPr>
          <w:p>
            <w:r>
              <w:t>54.8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  <w:tc>
          <w:tcPr>
            <w:tcW w:type="dxa" w:w="2160"/>
          </w:tcPr>
          <w:p>
            <w:r>
              <w:t>58.0%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87.0%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