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Metabolic syndrome (odds ratio per 1-SD 1.00 (95% CI 0.96 to 1.06), false discovery rate q 0.870)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1.06)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115.7</w:t>
            </w:r>
          </w:p>
        </w:tc>
        <w:tc>
          <w:tcPr>
            <w:tcW w:type="dxa" w:w="2160"/>
          </w:tcPr>
          <w:p>
            <w:r>
              <w:t>114.7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