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Metabolic syndrome (odds ratio 0.30 (95% CI 0.23 to 0.40),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0.30 (95% CI 0.23 to 0.40)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14.4%</w:t>
            </w:r>
          </w:p>
        </w:tc>
        <w:tc>
          <w:tcPr>
            <w:tcW w:type="dxa" w:w="2160"/>
          </w:tcPr>
          <w:p>
            <w:r>
              <w:t>5.9%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