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Metabolic syndrome (odds ratio 1.55 (95% CI 1.46 to 1.64), false discovery rate q &lt;0.001) among 34356 adults aged 20 years or older (a weighted Metabolic syndrome prevalence of 27.0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1.55 (95% CI 1.46 to 1.64)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