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Metabolic syndrome (odds ratio per 1-SD 1.25 (95% CI 1.21 to 1.29),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1.21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258.0</w:t>
            </w:r>
          </w:p>
        </w:tc>
        <w:tc>
          <w:tcPr>
            <w:tcW w:type="dxa" w:w="2160"/>
          </w:tcPr>
          <w:p>
            <w:r>
              <w:t>257.1</w:t>
            </w:r>
          </w:p>
        </w:tc>
        <w:tc>
          <w:tcPr>
            <w:tcW w:type="dxa" w:w="2160"/>
          </w:tcPr>
          <w:p>
            <w:r>
              <w:t>260.5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