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Metabolic syndrome (odds ratio per 1-SD 1.08 (95% CI 0.99 to 1.19), false discovery rate q 0.104)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0.99 to 1.19)</w:t>
            </w:r>
          </w:p>
        </w:tc>
        <w:tc>
          <w:tcPr>
            <w:tcW w:type="dxa" w:w="1234"/>
          </w:tcPr>
          <w:p>
            <w:r>
              <w:t>0.082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