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Metabolic syndrome (odds ratio per 1-SD 1.18 (95% CI 1.15 to 1.22), false discovery rate q &lt;0.001)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1.18 (95% CI 1.15 to 1.22)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189.8</w:t>
            </w:r>
          </w:p>
        </w:tc>
        <w:tc>
          <w:tcPr>
            <w:tcW w:type="dxa" w:w="2160"/>
          </w:tcPr>
          <w:p>
            <w:r>
              <w:t>188.1</w:t>
            </w:r>
          </w:p>
        </w:tc>
        <w:tc>
          <w:tcPr>
            <w:tcW w:type="dxa" w:w="2160"/>
          </w:tcPr>
          <w:p>
            <w:r>
              <w:t>194.2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