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Metabolic syndrome (odds ratio 1.15 (95% CI 1.02 to 1.29), false discovery rate q 0.028)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1.02 to 1.29)</w:t>
            </w:r>
          </w:p>
        </w:tc>
        <w:tc>
          <w:tcPr>
            <w:tcW w:type="dxa" w:w="1234"/>
          </w:tcPr>
          <w:p>
            <w:r>
              <w:t>0.020</w:t>
            </w:r>
          </w:p>
        </w:tc>
        <w:tc>
          <w:tcPr>
            <w:tcW w:type="dxa" w:w="1234"/>
          </w:tcPr>
          <w:p>
            <w:r>
              <w:t>0.028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70.5%</w:t>
            </w:r>
          </w:p>
        </w:tc>
        <w:tc>
          <w:tcPr>
            <w:tcW w:type="dxa" w:w="2160"/>
          </w:tcPr>
          <w:p>
            <w:r>
              <w:t>71.6%</w:t>
            </w:r>
          </w:p>
        </w:tc>
        <w:tc>
          <w:tcPr>
            <w:tcW w:type="dxa" w:w="2160"/>
          </w:tcPr>
          <w:p>
            <w:r>
              <w:t>67.0%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