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Metabolic syndrome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positively associated with Metabolic syndrome (odds ratio per 1-SD 1.53 (95% CI 1.48 to 1.59), false discovery rate q &lt;0.001) among 34356 adults aged 20 years or older (a weighted Metabolic syndrome prevalence of 27.0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1.53 (95% CI 1.48 to 1.59)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6.2</w:t>
            </w:r>
          </w:p>
        </w:tc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6.8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44.3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  <w:tc>
          <w:tcPr>
            <w:tcW w:type="dxa" w:w="2160"/>
          </w:tcPr>
          <w:p>
            <w:r>
              <w:t>58.0%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87.0%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