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Height, cm was inversely associated with Non-HDL cholesterol, mg/dL (beta coefficient per 1-SD -0.53 (95% CI -1.31 to 0.25), false discovery rate q 0.222) among 35794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-0.53 (95% CI -1.31 to 0.25)</w:t>
            </w:r>
          </w:p>
        </w:tc>
        <w:tc>
          <w:tcPr>
            <w:tcW w:type="dxa" w:w="1234"/>
          </w:tcPr>
          <w:p>
            <w:r>
              <w:t>0.185</w:t>
            </w:r>
          </w:p>
        </w:tc>
        <w:tc>
          <w:tcPr>
            <w:tcW w:type="dxa" w:w="1234"/>
          </w:tcPr>
          <w:p>
            <w:r>
              <w:t>0.222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Height, cm (exposure)</w:t>
            </w:r>
          </w:p>
        </w:tc>
        <w:tc>
          <w:tcPr>
            <w:tcW w:type="dxa" w:w="4320"/>
          </w:tcPr>
          <w:p>
            <w:r>
              <w:t>164.6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