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muscle mass (low ASMI, AWGS cut) was inversely associated with Non-HDL cholesterol, mg/dL (beta coefficient -10.81 (95% CI -13.76 to -7.86), false discovery rate q &lt;0.001) among 35794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-10.81 (95% CI -13.76 to -7.86)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12.1%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