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Obesity (KSSO &gt;=25 / WHO &gt;=30, country-specific) (odds ratio 0.98 (95% CI 0.91 to 1.06), false discovery rate q 0.669) among 37315 adults aged 20 years or older (a weighted Obesity (KSSO &gt;=25 / WHO &gt;=30, country-specific) prevalence of 34.9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0.91 to 1.06)</w:t>
            </w:r>
          </w:p>
        </w:tc>
        <w:tc>
          <w:tcPr>
            <w:tcW w:type="dxa" w:w="1234"/>
          </w:tcPr>
          <w:p>
            <w:r>
              <w:t>0.626</w:t>
            </w:r>
          </w:p>
        </w:tc>
        <w:tc>
          <w:tcPr>
            <w:tcW w:type="dxa" w:w="1234"/>
          </w:tcPr>
          <w:p>
            <w:r>
              <w:t>0.669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  <w:tc>
          <w:tcPr>
            <w:tcW w:type="dxa" w:w="2160"/>
          </w:tcPr>
          <w:p>
            <w:r>
              <w:t>21.0%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