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Obesity (KSSO &gt;=25 / WHO &gt;=30, country-specific) (odds ratio 1.03 (95% CI 0.96 to 1.11), false discovery rate q 0.461) among 37315 adults aged 20 years or older (a weighted Obesity (KSSO &gt;=25 / WHO &gt;=30, country-specific) prevalence of 34.9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0.96 to 1.11)</w:t>
            </w:r>
          </w:p>
        </w:tc>
        <w:tc>
          <w:tcPr>
            <w:tcW w:type="dxa" w:w="1234"/>
          </w:tcPr>
          <w:p>
            <w:r>
              <w:t>0.411</w:t>
            </w:r>
          </w:p>
        </w:tc>
        <w:tc>
          <w:tcPr>
            <w:tcW w:type="dxa" w:w="1234"/>
          </w:tcPr>
          <w:p>
            <w:r>
              <w:t>0.461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