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Obesity (KSSO &gt;=25 / WHO &gt;=30, country-specific) (odds ratio per 1-SD 1.46 (95% CI 1.39 to 1.52), false discovery rate q &lt;0.001) among 37315 adults aged 20 years or older (a weighted Obesity (KSSO &gt;=25 / WHO &gt;=30, country-specific) prevalence of 34.9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1.46 (95% CI 1.39 to 1.52)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99.3</w:t>
            </w:r>
          </w:p>
        </w:tc>
        <w:tc>
          <w:tcPr>
            <w:tcW w:type="dxa" w:w="2160"/>
          </w:tcPr>
          <w:p>
            <w:r>
              <w:t>96.3</w:t>
            </w:r>
          </w:p>
        </w:tc>
        <w:tc>
          <w:tcPr>
            <w:tcW w:type="dxa" w:w="2160"/>
          </w:tcPr>
          <w:p>
            <w:r>
              <w:t>104.9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