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positively associated with Obesity (KSSO &gt;=25 / WHO &gt;=30, country-specific) (odds ratio per 1-SD 1.50 (95% CI 1.44 to 1.56), false discovery rate q &lt;0.001)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1.50 (95% CI 1.44 to 1.56)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13.9</w:t>
            </w:r>
          </w:p>
        </w:tc>
        <w:tc>
          <w:tcPr>
            <w:tcW w:type="dxa" w:w="2160"/>
          </w:tcPr>
          <w:p>
            <w:r>
              <w:t>14.5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