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LDL cholesterol, mg/dL and Obesity (KSSO &gt;=25 / WHO &gt;=30, country-specific)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LDL cholesterol, mg/dL was positively associated with Obesity (KSSO &gt;=25 / WHO &gt;=30, country-specific) (odds ratio per 1-SD 1.17 (95% CI 1.12 to 1.23), false discovery rate q &lt;0.001) among 37315 adults aged 20 years or older (a weighted Obesity (KSSO &gt;=25 / WHO &gt;=30, country-specific) prevalence of 34.9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Adiposity measures are the exposure family and are not used for adjustment.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LDL cholesterol, mg/dL</w:t>
            </w:r>
          </w:p>
        </w:tc>
        <w:tc>
          <w:tcPr>
            <w:tcW w:type="dxa" w:w="1234"/>
          </w:tcPr>
          <w:p>
            <w:r>
              <w:t>Obesity (KSSO &gt;=25 / WHO &gt;=30, country-specific)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1.17 (95% CI 1.12 to 1.23)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37315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Obesity (KSSO &gt;=25 / WHO &gt;=30, country-specific)</w:t>
            </w:r>
          </w:p>
        </w:tc>
        <w:tc>
          <w:tcPr>
            <w:tcW w:type="dxa" w:w="2160"/>
          </w:tcPr>
          <w:p>
            <w:r>
              <w:t>Obesity (KSSO &gt;=25 / WHO &gt;=30, country-specific)</w:t>
            </w:r>
          </w:p>
        </w:tc>
      </w:tr>
      <w:tr>
        <w:tc>
          <w:tcPr>
            <w:tcW w:type="dxa" w:w="2160"/>
          </w:tcPr>
          <w:p>
            <w:r>
              <w:t>LDL cholesterol, mg/dL (exposure)</w:t>
            </w:r>
          </w:p>
        </w:tc>
        <w:tc>
          <w:tcPr>
            <w:tcW w:type="dxa" w:w="2160"/>
          </w:tcPr>
          <w:p>
            <w:r>
              <w:t>115.4</w:t>
            </w:r>
          </w:p>
        </w:tc>
        <w:tc>
          <w:tcPr>
            <w:tcW w:type="dxa" w:w="2160"/>
          </w:tcPr>
          <w:p>
            <w:r>
              <w:t>113.1</w:t>
            </w:r>
          </w:p>
        </w:tc>
        <w:tc>
          <w:tcPr>
            <w:tcW w:type="dxa" w:w="2160"/>
          </w:tcPr>
          <w:p>
            <w:r>
              <w:t>118.7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47.4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48.6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49.9%</w:t>
            </w:r>
          </w:p>
        </w:tc>
        <w:tc>
          <w:tcPr>
            <w:tcW w:type="dxa" w:w="2160"/>
          </w:tcPr>
          <w:p>
            <w:r>
              <w:t>45.2%</w:t>
            </w:r>
          </w:p>
        </w:tc>
        <w:tc>
          <w:tcPr>
            <w:tcW w:type="dxa" w:w="2160"/>
          </w:tcPr>
          <w:p>
            <w:r>
              <w:t>58.6%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44.7%</w:t>
            </w:r>
          </w:p>
        </w:tc>
        <w:tc>
          <w:tcPr>
            <w:tcW w:type="dxa" w:w="2160"/>
          </w:tcPr>
          <w:p>
            <w:r>
              <w:t>41.5%</w:t>
            </w:r>
          </w:p>
        </w:tc>
        <w:tc>
          <w:tcPr>
            <w:tcW w:type="dxa" w:w="2160"/>
          </w:tcPr>
          <w:p>
            <w:r>
              <w:t>50.8%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90.3%</w:t>
            </w:r>
          </w:p>
        </w:tc>
        <w:tc>
          <w:tcPr>
            <w:tcW w:type="dxa" w:w="2160"/>
          </w:tcPr>
          <w:p>
            <w:r>
              <w:t>90.5%</w:t>
            </w:r>
          </w:p>
        </w:tc>
        <w:tc>
          <w:tcPr>
            <w:tcW w:type="dxa" w:w="2160"/>
          </w:tcPr>
          <w:p>
            <w:r>
              <w:t>89.9%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