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Obesity (KSSO &gt;=25 / WHO &gt;=30, country-specific) (odds ratio 0.46 (95% CI 0.37 to 0.57),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0.37 to 0.57)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35.9%</w:t>
            </w:r>
          </w:p>
        </w:tc>
        <w:tc>
          <w:tcPr>
            <w:tcW w:type="dxa" w:w="2160"/>
          </w:tcPr>
          <w:p>
            <w:r>
              <w:t>24.7%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