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positively associated with Obesity (KSSO &gt;=25 / WHO &gt;=30, country-specific) (odds ratio per 1-SD 1.06 (95% CI 0.99 to 1.14), false discovery rate q 0.130) among 37315 adults aged 20 years or older (a weighted Obesity (KSSO &gt;=25 / WHO &gt;=30, country-specific) prevalence of 34.9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1.06 (95% CI 0.99 to 1.14)</w:t>
            </w:r>
          </w:p>
        </w:tc>
        <w:tc>
          <w:tcPr>
            <w:tcW w:type="dxa" w:w="1234"/>
          </w:tcPr>
          <w:p>
            <w:r>
              <w:t>0.104</w:t>
            </w:r>
          </w:p>
        </w:tc>
        <w:tc>
          <w:tcPr>
            <w:tcW w:type="dxa" w:w="1234"/>
          </w:tcPr>
          <w:p>
            <w:r>
              <w:t>0.130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