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Obesity (KSSO &gt;=25 / WHO &gt;=30, country-specific) (odds ratio per 1-SD 1.23 (95% CI 1.20 to 1.27),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1.20 to 1.27)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189.7</w:t>
            </w:r>
          </w:p>
        </w:tc>
        <w:tc>
          <w:tcPr>
            <w:tcW w:type="dxa" w:w="2160"/>
          </w:tcPr>
          <w:p>
            <w:r>
              <w:t>187.0</w:t>
            </w:r>
          </w:p>
        </w:tc>
        <w:tc>
          <w:tcPr>
            <w:tcW w:type="dxa" w:w="2160"/>
          </w:tcPr>
          <w:p>
            <w:r>
              <w:t>194.7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