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inversely associated with Osteoporosis (T-score&lt;=-2.5, age&gt;=50) (odds ratio per 1-SD 0.31 (95% CI 0.24 to 0.39), false discovery rate q &lt;0.001) among 3383 adults aged 20 years or older (a weighted Osteoporosis (T-score&lt;=-2.5, age&gt;=50) prevalence of 31.8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0.31 (95% CI 0.24 to 0.39)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18.1</w:t>
            </w:r>
          </w:p>
        </w:tc>
        <w:tc>
          <w:tcPr>
            <w:tcW w:type="dxa" w:w="2160"/>
          </w:tcPr>
          <w:p>
            <w:r>
              <w:t>19.5</w:t>
            </w:r>
          </w:p>
        </w:tc>
        <w:tc>
          <w:tcPr>
            <w:tcW w:type="dxa" w:w="2160"/>
          </w:tcPr>
          <w:p>
            <w:r>
              <w:t>15.1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