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Atherogenic dyslipidemia (high TG + low HDL) was positively associated with Osteoporosis (T-score&lt;=-2.5, age&gt;=50) (odds ratio 1.03 (95% CI 0.80 to 1.35), false discovery rate q 0.829) among 3383 adults aged 20 years or older (a weighted Osteoporosis (T-score&lt;=-2.5, age&gt;=50) prevalence of 31.8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1.03 (95% CI 0.80 to 1.35)</w:t>
            </w:r>
          </w:p>
        </w:tc>
        <w:tc>
          <w:tcPr>
            <w:tcW w:type="dxa" w:w="1234"/>
          </w:tcPr>
          <w:p>
            <w:r>
              <w:t>0.799</w:t>
            </w:r>
          </w:p>
        </w:tc>
        <w:tc>
          <w:tcPr>
            <w:tcW w:type="dxa" w:w="1234"/>
          </w:tcPr>
          <w:p>
            <w:r>
              <w:t>0.829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Atherogenic dyslipidemia (high TG + low HDL) (exposure)</w:t>
            </w:r>
          </w:p>
        </w:tc>
        <w:tc>
          <w:tcPr>
            <w:tcW w:type="dxa" w:w="2160"/>
          </w:tcPr>
          <w:p>
            <w:r>
              <w:t>24.3%</w:t>
            </w:r>
          </w:p>
        </w:tc>
        <w:tc>
          <w:tcPr>
            <w:tcW w:type="dxa" w:w="2160"/>
          </w:tcPr>
          <w:p>
            <w:r>
              <w:t>23.7%</w:t>
            </w:r>
          </w:p>
        </w:tc>
        <w:tc>
          <w:tcPr>
            <w:tcW w:type="dxa" w:w="2160"/>
          </w:tcPr>
          <w:p>
            <w:r>
              <w:t>25.8%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