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Chronic kidney disease (KDIGO: eGFR&lt;60 or ACR&gt;=30) and Osteoporosis (T-score&lt;=-2.5, age&gt;=50)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Chronic kidney disease (KDIGO: eGFR&lt;60 or ACR&gt;=30) was positively associated with Osteoporosis (T-score&lt;=-2.5, age&gt;=50) (odds ratio 1.89 (95% CI 0.86 to 4.18), false discovery rate q 0.150) among 3383 adults aged 20 years or older (a weighted Osteoporosis (T-score&lt;=-2.5, age&gt;=50) prevalence of 31.8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Chronic kidney disease (KDIGO: eGFR&lt;60 or ACR&gt;=30)</w:t>
            </w:r>
          </w:p>
        </w:tc>
        <w:tc>
          <w:tcPr>
            <w:tcW w:type="dxa" w:w="1234"/>
          </w:tcPr>
          <w:p>
            <w:r>
              <w:t>Osteoporosis (T-score&lt;=-2.5, age&gt;=50)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1.89 (95% CI 0.86 to 4.18)</w:t>
            </w:r>
          </w:p>
        </w:tc>
        <w:tc>
          <w:tcPr>
            <w:tcW w:type="dxa" w:w="1234"/>
          </w:tcPr>
          <w:p>
            <w:r>
              <w:t>0.121</w:t>
            </w:r>
          </w:p>
        </w:tc>
        <w:tc>
          <w:tcPr>
            <w:tcW w:type="dxa" w:w="1234"/>
          </w:tcPr>
          <w:p>
            <w:r>
              <w:t>0.150</w:t>
            </w:r>
          </w:p>
        </w:tc>
        <w:tc>
          <w:tcPr>
            <w:tcW w:type="dxa" w:w="1234"/>
          </w:tcPr>
          <w:p>
            <w:r>
              <w:t>3383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Osteoporosis (T-score&lt;=-2.5, age&gt;=50)</w:t>
            </w:r>
          </w:p>
        </w:tc>
        <w:tc>
          <w:tcPr>
            <w:tcW w:type="dxa" w:w="2160"/>
          </w:tcPr>
          <w:p>
            <w:r>
              <w:t>Osteoporosis (T-score&lt;=-2.5, age&gt;=50)</w:t>
            </w:r>
          </w:p>
        </w:tc>
      </w:tr>
      <w:tr>
        <w:tc>
          <w:tcPr>
            <w:tcW w:type="dxa" w:w="2160"/>
          </w:tcPr>
          <w:p>
            <w:r>
              <w:t>Chronic kidney disease (KDIGO: eGFR&lt;60 or ACR&gt;=30) (exposure)</w:t>
            </w:r>
          </w:p>
        </w:tc>
        <w:tc>
          <w:tcPr>
            <w:tcW w:type="dxa" w:w="2160"/>
          </w:tcPr>
          <w:p>
            <w:r>
              <w:t>10.6%</w:t>
            </w:r>
          </w:p>
        </w:tc>
        <w:tc>
          <w:tcPr>
            <w:tcW w:type="dxa" w:w="2160"/>
          </w:tcPr>
          <w:p>
            <w:r>
              <w:t>8.5%</w:t>
            </w:r>
          </w:p>
        </w:tc>
        <w:tc>
          <w:tcPr>
            <w:tcW w:type="dxa" w:w="2160"/>
          </w:tcPr>
          <w:p>
            <w:r>
              <w:t>15.8%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62.3</w:t>
            </w:r>
          </w:p>
        </w:tc>
        <w:tc>
          <w:tcPr>
            <w:tcW w:type="dxa" w:w="2160"/>
          </w:tcPr>
          <w:p>
            <w:r>
              <w:t>59.9</w:t>
            </w:r>
          </w:p>
        </w:tc>
        <w:tc>
          <w:tcPr>
            <w:tcW w:type="dxa" w:w="2160"/>
          </w:tcPr>
          <w:p>
            <w:r>
              <w:t>67.5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45.4%</w:t>
            </w:r>
          </w:p>
        </w:tc>
        <w:tc>
          <w:tcPr>
            <w:tcW w:type="dxa" w:w="2160"/>
          </w:tcPr>
          <w:p>
            <w:r>
              <w:t>57.7%</w:t>
            </w:r>
          </w:p>
        </w:tc>
        <w:tc>
          <w:tcPr>
            <w:tcW w:type="dxa" w:w="2160"/>
          </w:tcPr>
          <w:p>
            <w:r>
              <w:t>19.1%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24.4</w:t>
            </w:r>
          </w:p>
        </w:tc>
        <w:tc>
          <w:tcPr>
            <w:tcW w:type="dxa" w:w="2160"/>
          </w:tcPr>
          <w:p>
            <w:r>
              <w:t>23.2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43.7%</w:t>
            </w:r>
          </w:p>
        </w:tc>
        <w:tc>
          <w:tcPr>
            <w:tcW w:type="dxa" w:w="2160"/>
          </w:tcPr>
          <w:p>
            <w:r>
              <w:t>52.3%</w:t>
            </w:r>
          </w:p>
        </w:tc>
        <w:tc>
          <w:tcPr>
            <w:tcW w:type="dxa" w:w="2160"/>
          </w:tcPr>
          <w:p>
            <w:r>
              <w:t>25.0%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78.3%</w:t>
            </w:r>
          </w:p>
        </w:tc>
        <w:tc>
          <w:tcPr>
            <w:tcW w:type="dxa" w:w="2160"/>
          </w:tcPr>
          <w:p>
            <w:r>
              <w:t>84.8%</w:t>
            </w:r>
          </w:p>
        </w:tc>
        <w:tc>
          <w:tcPr>
            <w:tcW w:type="dxa" w:w="2160"/>
          </w:tcPr>
          <w:p>
            <w:r>
              <w:t>64.4%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