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positively associated with Osteoporosis (T-score&lt;=-2.5, age&gt;=50) (odds ratio 1.18 (95% CI 0.81 to 1.70), false discovery rate q 0.444) among 3383 adults aged 20 years or older (a weighted Osteoporosis (T-score&lt;=-2.5, age&gt;=50) prevalence of 31.8 percent, survey-weighted). Confounders: Age, years, Male sex, Body mass index, kg/m2,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1.18 (95% CI 0.81 to 1.70)</w:t>
            </w:r>
          </w:p>
        </w:tc>
        <w:tc>
          <w:tcPr>
            <w:tcW w:type="dxa" w:w="1234"/>
          </w:tcPr>
          <w:p>
            <w:r>
              <w:t>0.393</w:t>
            </w:r>
          </w:p>
        </w:tc>
        <w:tc>
          <w:tcPr>
            <w:tcW w:type="dxa" w:w="1234"/>
          </w:tcPr>
          <w:p>
            <w:r>
              <w:t>0.444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18.3%</w:t>
            </w:r>
          </w:p>
        </w:tc>
        <w:tc>
          <w:tcPr>
            <w:tcW w:type="dxa" w:w="2160"/>
          </w:tcPr>
          <w:p>
            <w:r>
              <w:t>21.9%</w:t>
            </w:r>
          </w:p>
        </w:tc>
        <w:tc>
          <w:tcPr>
            <w:tcW w:type="dxa" w:w="2160"/>
          </w:tcPr>
          <w:p>
            <w:r>
              <w:t>10.5%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