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Osteoporosis (T-score&lt;=-2.5, age&gt;=50) (odds ratio 1.05 (95% CI 0.84 to 1.31), false discovery rate q 0.692)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0.84 to 1.31)</w:t>
            </w:r>
          </w:p>
        </w:tc>
        <w:tc>
          <w:tcPr>
            <w:tcW w:type="dxa" w:w="1234"/>
          </w:tcPr>
          <w:p>
            <w:r>
              <w:t>0.650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64.0%</w:t>
            </w:r>
          </w:p>
        </w:tc>
        <w:tc>
          <w:tcPr>
            <w:tcW w:type="dxa" w:w="2160"/>
          </w:tcPr>
          <w:p>
            <w:r>
              <w:t>61.9%</w:t>
            </w:r>
          </w:p>
        </w:tc>
        <w:tc>
          <w:tcPr>
            <w:tcW w:type="dxa" w:w="2160"/>
          </w:tcPr>
          <w:p>
            <w:r>
              <w:t>69.1%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