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positively associated with Osteoporosis (T-score&lt;=-2.5, age&gt;=50) (odds ratio 1.03 (95% CI 0.64 to 1.66), false discovery rate q 0.926) among 3383 adults aged 20 years or older (a weighted Osteoporosis (T-score&lt;=-2.5, age&gt;=50) prevalence of 31.8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1.03 (95% CI 0.64 to 1.66)</w:t>
            </w:r>
          </w:p>
        </w:tc>
        <w:tc>
          <w:tcPr>
            <w:tcW w:type="dxa" w:w="1234"/>
          </w:tcPr>
          <w:p>
            <w:r>
              <w:t>0.913</w:t>
            </w:r>
          </w:p>
        </w:tc>
        <w:tc>
          <w:tcPr>
            <w:tcW w:type="dxa" w:w="1234"/>
          </w:tcPr>
          <w:p>
            <w:r>
              <w:t>0.926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Elevated ALT (&gt;40 IU/L) (exposure)</w:t>
            </w:r>
          </w:p>
        </w:tc>
        <w:tc>
          <w:tcPr>
            <w:tcW w:type="dxa" w:w="2160"/>
          </w:tcPr>
          <w:p>
            <w:r>
              <w:t>7.7%</w:t>
            </w:r>
          </w:p>
        </w:tc>
        <w:tc>
          <w:tcPr>
            <w:tcW w:type="dxa" w:w="2160"/>
          </w:tcPr>
          <w:p>
            <w:r>
              <w:t>8.9%</w:t>
            </w:r>
          </w:p>
        </w:tc>
        <w:tc>
          <w:tcPr>
            <w:tcW w:type="dxa" w:w="2160"/>
          </w:tcPr>
          <w:p>
            <w:r>
              <w:t>5.0%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